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400" w:after="160" w:line="324" w:lineRule="auto"/>
        <w:jc w:val="center"/>
      </w:pPr>
      <w:r>
        <w:rPr>
          <w:rFonts w:ascii="Noto Sans CJK SC" w:hAnsi="Noto Sans CJK SC" w:eastAsia="Noto Sans CJK SC"/>
          <w:b/>
          <w:color w:val="103A71"/>
          <w:sz w:val="44"/>
        </w:rPr>
        <w:t>“人工智能+教育”背景下的教育行业可信AI数据底座解决方案</w:t>
      </w:r>
    </w:p>
    <w:p>
      <w:pPr>
        <w:spacing w:before="80" w:after="240" w:line="324" w:lineRule="auto"/>
        <w:jc w:val="center"/>
      </w:pPr>
      <w:r>
        <w:rPr>
          <w:rFonts w:ascii="Noto Sans CJK SC" w:hAnsi="Noto Sans CJK SC" w:eastAsia="Noto Sans CJK SC"/>
          <w:b/>
          <w:color w:val="1F6FEB"/>
          <w:sz w:val="26"/>
        </w:rPr>
        <w:t>—— 面向省教育厅与高校客户的高质量数据集生产引擎正式方案</w:t>
      </w:r>
    </w:p>
    <w:p>
      <w:pPr>
        <w:spacing w:before="0" w:after="0" w:line="324" w:lineRule="auto"/>
        <w:jc w:val="center"/>
      </w:pPr>
      <w:r>
        <w:rPr>
          <w:rFonts w:ascii="Noto Sans CJK SC" w:hAnsi="Noto Sans CJK SC" w:eastAsia="Noto Sans CJK SC"/>
          <w:b/>
          <w:color w:val="F59E0B"/>
          <w:sz w:val="16"/>
        </w:rPr>
        <w:t>■■■■■■</w:t>
      </w:r>
    </w:p>
    <w:p>
      <w:pPr>
        <w:spacing w:before="0" w:after="0" w:line="324" w:lineRule="auto"/>
        <w:jc w:val="center"/>
      </w:pPr>
      <w:r>
        <w:rPr>
          <w:rFonts w:ascii="Noto Sans CJK SC" w:hAnsi="Noto Sans CJK SC" w:eastAsia="Noto Sans CJK SC"/>
          <w:b/>
          <w:color w:val="1F6FEB"/>
          <w:sz w:val="16"/>
        </w:rPr>
        <w:t>■■■■■■■■■■■■■</w:t>
      </w:r>
    </w:p>
    <w:p>
      <w:pPr>
        <w:spacing w:before="0" w:after="0" w:line="324" w:lineRule="auto"/>
        <w:jc w:val="center"/>
      </w:pPr>
      <w:r>
        <w:rPr>
          <w:rFonts w:ascii="Noto Sans CJK SC" w:hAnsi="Noto Sans CJK SC" w:eastAsia="Noto Sans CJK SC"/>
          <w:b/>
          <w:color w:val="2AA7A0"/>
          <w:sz w:val="16"/>
        </w:rPr>
        <w:t>■■■■■■■■■</w:t>
      </w:r>
    </w:p>
    <w:p>
      <w:pPr>
        <w:spacing w:before="600" w:after="200" w:line="324" w:lineRule="auto"/>
        <w:jc w:val="center"/>
      </w:pPr>
      <w:r>
        <w:rPr>
          <w:rFonts w:ascii="Noto Sans CJK SC" w:hAnsi="Noto Sans CJK SC" w:eastAsia="Noto Sans CJK SC"/>
          <w:b/>
          <w:color w:val="1F2937"/>
          <w:sz w:val="24"/>
        </w:rPr>
        <w:t>软通数据｜正式方案文档</w:t>
      </w:r>
    </w:p>
    <w:p>
      <w:pPr>
        <w:spacing w:before="80" w:after="100" w:line="324" w:lineRule="auto"/>
        <w:jc w:val="center"/>
      </w:pPr>
      <w:r>
        <w:rPr>
          <w:rFonts w:ascii="Noto Sans CJK SC" w:hAnsi="Noto Sans CJK SC" w:eastAsia="Noto Sans CJK SC"/>
          <w:b w:val="0"/>
          <w:color w:val="6B7280"/>
          <w:sz w:val="21"/>
        </w:rPr>
        <w:t>关键词：可信AI数据底座｜高质量数据集生产引擎｜Data Token｜省教育厅｜高校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859"/>
      </w:tblGrid>
      <w:tr>
        <w:tc>
          <w:tcPr>
            <w:tcW w:type="dxa" w:w="9859"/>
            <w:shd w:fill="103A71"/>
            <w:tcBorders>
              <w:top w:val="single" w:sz="0" w:space="0" w:color="103A71"/>
              <w:left w:val="single" w:sz="0" w:space="0" w:color="103A71"/>
              <w:bottom w:val="single" w:sz="0" w:space="0" w:color="103A71"/>
              <w:right w:val="single" w:sz="0" w:space="0" w:color="103A71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/>
                <w:color w:val="FFFFFF"/>
                <w:sz w:val="23"/>
              </w:rPr>
              <w:t>方案摘要</w:t>
            </w:r>
          </w:p>
        </w:tc>
      </w:tr>
      <w:tr>
        <w:tc>
          <w:tcPr>
            <w:tcW w:type="dxa" w:w="9859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本方案以“可信AI数据底座”为统一产品核心，面向省教育厅客户建设省域教育AI公共能力底座，面向高校客户建设校级学科与治理数据工厂，并通过高质量数据集生产引擎和 Data Token 机制，把教育数据从“资源”转化为“资产”，把AI项目从“一次性交付”转化为“持续运营体系”。</w:t>
            </w:r>
          </w:p>
        </w:tc>
      </w:tr>
    </w:tbl>
    <w:p/>
    <w:p>
      <w:r>
        <w:br w:type="page"/>
      </w:r>
    </w:p>
    <w:p>
      <w:pPr>
        <w:spacing w:before="160" w:after="120" w:line="324" w:lineRule="auto"/>
      </w:pPr>
      <w:r>
        <w:rPr>
          <w:rFonts w:ascii="Noto Sans CJK SC" w:hAnsi="Noto Sans CJK SC" w:eastAsia="Noto Sans CJK SC"/>
          <w:b/>
          <w:color w:val="103A71"/>
          <w:sz w:val="32"/>
        </w:rPr>
        <w:t>一、项目背景与总体判断</w:t>
      </w:r>
    </w:p>
    <w:p>
      <w:pPr>
        <w:spacing w:before="0" w:after="160" w:line="324" w:lineRule="auto"/>
      </w:pPr>
      <w:r>
        <w:rPr>
          <w:rFonts w:ascii="Noto Sans CJK SC" w:hAnsi="Noto Sans CJK SC" w:eastAsia="Noto Sans CJK SC"/>
          <w:b w:val="0"/>
          <w:color w:val="1F2937"/>
          <w:sz w:val="22"/>
        </w:rPr>
        <w:t>2026年4月，教育部、国家发展改革委、工业和信息化部、科技部、国家数据局联合印发《“人工智能+教育”行动计划》，明确提出到2030年形成人工智能与教育深度融合格局，推动智能技术与教育全要素融合、全过程贯通、全场景覆盖。</w:t>
      </w:r>
    </w:p>
    <w:p>
      <w:pPr>
        <w:spacing w:before="0" w:after="160" w:line="324" w:lineRule="auto"/>
      </w:pPr>
      <w:r>
        <w:rPr>
          <w:rFonts w:ascii="Noto Sans CJK SC" w:hAnsi="Noto Sans CJK SC" w:eastAsia="Noto Sans CJK SC"/>
          <w:b w:val="0"/>
          <w:color w:val="1F2937"/>
          <w:sz w:val="22"/>
        </w:rPr>
        <w:t>与此同时，国家数据局已发布《高质量数据集建设指引》，强调以体系化、设施化、生态化方式推进高质量数据集建设；教育部也已发布《教育数据分类分级指南》，教育数据治理的规范边界进一步明确。</w:t>
      </w:r>
    </w:p>
    <w:p>
      <w:pPr>
        <w:spacing w:before="0" w:after="160" w:line="324" w:lineRule="auto"/>
      </w:pPr>
      <w:r>
        <w:rPr>
          <w:rFonts w:ascii="Noto Sans CJK SC" w:hAnsi="Noto Sans CJK SC" w:eastAsia="Noto Sans CJK SC"/>
          <w:b w:val="0"/>
          <w:color w:val="1F2937"/>
          <w:sz w:val="22"/>
        </w:rPr>
        <w:t>这意味着教育行业的建设重点正在从“单点AI应用试点”转向“可信数据底座 + 高质量数据资产 + 场景持续运营”的一体化能力建设。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859"/>
      </w:tblGrid>
      <w:tr>
        <w:tc>
          <w:tcPr>
            <w:tcW w:type="dxa" w:w="9859"/>
            <w:shd w:fill="2AA7A0"/>
            <w:tcBorders>
              <w:top w:val="single" w:sz="0" w:space="0" w:color="2AA7A0"/>
              <w:left w:val="single" w:sz="0" w:space="0" w:color="2AA7A0"/>
              <w:bottom w:val="single" w:sz="0" w:space="0" w:color="2AA7A0"/>
              <w:right w:val="single" w:sz="0" w:space="0" w:color="2AA7A0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/>
                <w:color w:val="FFFFFF"/>
                <w:sz w:val="23"/>
              </w:rPr>
              <w:t>总体判断</w:t>
            </w:r>
          </w:p>
        </w:tc>
      </w:tr>
      <w:tr>
        <w:tc>
          <w:tcPr>
            <w:tcW w:type="dxa" w:w="9859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高质量数据集生产引擎面向教育行业具备明确政策窗口和现实需求，但对外不宜仅以“语料车间”命名，而应升级为“教育行业可信AI数据底座 + 高质量数据集生产引擎”，同时同步回答数据合规、教育场景适配、持续运营和投资回报四个问题。</w:t>
            </w:r>
          </w:p>
        </w:tc>
      </w:tr>
    </w:tbl>
    <w:p/>
    <w:p>
      <w:pPr>
        <w:spacing w:before="160" w:after="120" w:line="324" w:lineRule="auto"/>
      </w:pPr>
      <w:r>
        <w:rPr>
          <w:rFonts w:ascii="Noto Sans CJK SC" w:hAnsi="Noto Sans CJK SC" w:eastAsia="Noto Sans CJK SC"/>
          <w:b/>
          <w:color w:val="103A71"/>
          <w:sz w:val="32"/>
        </w:rPr>
        <w:t>二、客户分类与建设逻辑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c>
          <w:tcPr>
            <w:tcW w:type="dxa" w:w="4929"/>
            <w:shd w:fill="1F6FEB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>
            <w:pPr>
              <w:spacing w:before="0" w:after="40" w:line="324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3"/>
              </w:rPr>
              <w:t>省教育厅客户</w:t>
            </w:r>
          </w:p>
        </w:tc>
        <w:tc>
          <w:tcPr>
            <w:tcW w:type="dxa" w:w="4929"/>
            <w:shd w:fill="2AA7A0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>
            <w:pPr>
              <w:spacing w:before="0" w:after="40" w:line="324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3"/>
              </w:rPr>
              <w:t>高校客户</w:t>
            </w:r>
          </w:p>
        </w:tc>
      </w:tr>
      <w:tr>
        <w:tc>
          <w:tcPr>
            <w:tcW w:type="dxa" w:w="4929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  <w:vAlign w:val="center"/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1"/>
              </w:rPr>
              <w:t>建设目标：形成省域教育AI公共能力底座，支撑课程落地、教师发展、教育治理和资源均衡。</w:t>
            </w:r>
          </w:p>
        </w:tc>
        <w:tc>
          <w:tcPr>
            <w:tcW w:type="dxa" w:w="4929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  <w:vAlign w:val="center"/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1"/>
              </w:rPr>
              <w:t>建设目标：形成校级数据工厂，服务学科升级、课程改革、科研转化和校务服务智能化。</w:t>
            </w:r>
          </w:p>
        </w:tc>
      </w:tr>
      <w:tr>
        <w:tc>
          <w:tcPr>
            <w:tcW w:type="dxa" w:w="4929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  <w:vAlign w:val="center"/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1"/>
              </w:rPr>
              <w:t>采购逻辑：更偏向统建型平台项目，强调省级统筹、可复制推广和公共服务能力。</w:t>
            </w:r>
          </w:p>
        </w:tc>
        <w:tc>
          <w:tcPr>
            <w:tcW w:type="dxa" w:w="4929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  <w:vAlign w:val="center"/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1"/>
              </w:rPr>
              <w:t>采购逻辑：更偏向校级能力建设项目，强调院系差异化、学科特色和长期资产沉淀。</w:t>
            </w:r>
          </w:p>
        </w:tc>
      </w:tr>
      <w:tr>
        <w:tc>
          <w:tcPr>
            <w:tcW w:type="dxa" w:w="4929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  <w:vAlign w:val="center"/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1"/>
              </w:rPr>
              <w:t>交付重点：省级可信AI数据底座、公共数据产品群、试点示范应用包。</w:t>
            </w:r>
          </w:p>
        </w:tc>
        <w:tc>
          <w:tcPr>
            <w:tcW w:type="dxa" w:w="4929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  <w:vAlign w:val="center"/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1"/>
              </w:rPr>
              <w:t>交付重点：校级可信AI数据底座、学科数据工厂、知识库与智能体数据包。</w:t>
            </w:r>
          </w:p>
        </w:tc>
      </w:tr>
      <w:tr>
        <w:tc>
          <w:tcPr>
            <w:tcW w:type="dxa" w:w="4929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  <w:vAlign w:val="center"/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1"/>
              </w:rPr>
              <w:t>运营重点：地市/学校协同接入、资源共享、年度评估与省域复制。</w:t>
            </w:r>
          </w:p>
        </w:tc>
        <w:tc>
          <w:tcPr>
            <w:tcW w:type="dxa" w:w="4929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  <w:vAlign w:val="center"/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1"/>
              </w:rPr>
              <w:t>运营重点：部门/学院配额、科研项目服务、持续评测与场景优化。</w:t>
            </w:r>
          </w:p>
        </w:tc>
      </w:tr>
    </w:tbl>
    <w:p/>
    <w:p>
      <w:pPr>
        <w:spacing w:before="160" w:after="120" w:line="324" w:lineRule="auto"/>
      </w:pPr>
      <w:r>
        <w:rPr>
          <w:rFonts w:ascii="Noto Sans CJK SC" w:hAnsi="Noto Sans CJK SC" w:eastAsia="Noto Sans CJK SC"/>
          <w:b/>
          <w:color w:val="103A71"/>
          <w:sz w:val="32"/>
        </w:rPr>
        <w:t>三、统一产品定位：软通数据“可信AI数据底座”</w:t>
      </w:r>
    </w:p>
    <w:p>
      <w:pPr>
        <w:spacing w:before="0" w:after="160" w:line="324" w:lineRule="auto"/>
      </w:pPr>
      <w:r>
        <w:rPr>
          <w:rFonts w:ascii="Noto Sans CJK SC" w:hAnsi="Noto Sans CJK SC" w:eastAsia="Noto Sans CJK SC"/>
          <w:b w:val="0"/>
          <w:color w:val="1F2937"/>
          <w:sz w:val="22"/>
        </w:rPr>
        <w:t>建议对外统一产品口径为：以“可信AI数据底座”为核心，以高质量数据集生产引擎为能力抓手，面向不同客户形态提供差异化解决方案。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86"/>
        <w:gridCol w:w="3286"/>
        <w:gridCol w:w="3286"/>
      </w:tblGrid>
      <w:tr>
        <w:tc>
          <w:tcPr>
            <w:tcW w:type="dxa" w:w="3286"/>
            <w:shd w:fill="103A71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>
            <w:pPr>
              <w:spacing w:before="0" w:after="40" w:line="324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2"/>
              </w:rPr>
              <w:t>产品层</w:t>
            </w:r>
          </w:p>
        </w:tc>
        <w:tc>
          <w:tcPr>
            <w:tcW w:type="dxa" w:w="3286"/>
            <w:shd w:fill="1F6FEB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>
            <w:pPr>
              <w:spacing w:before="0" w:after="40" w:line="324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2"/>
              </w:rPr>
              <w:t>核心能力</w:t>
            </w:r>
          </w:p>
        </w:tc>
        <w:tc>
          <w:tcPr>
            <w:tcW w:type="dxa" w:w="3286"/>
            <w:shd w:fill="2AA7A0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>
            <w:pPr>
              <w:spacing w:before="0" w:after="40" w:line="324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2"/>
              </w:rPr>
              <w:t>输出成果</w:t>
            </w:r>
          </w:p>
        </w:tc>
      </w:tr>
      <w:tr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可信接入层</w:t>
            </w:r>
          </w:p>
        </w:tc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接入教育厅平台、学校系统、课程资源、题库课件、制度文件、科研成果、音视频等多模态数据</w:t>
            </w:r>
          </w:p>
        </w:tc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形成统一接入与目录化管理能力</w:t>
            </w:r>
          </w:p>
        </w:tc>
      </w:tr>
      <w:tr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治理合规层</w:t>
            </w:r>
          </w:p>
        </w:tc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分类分级、脱敏去标识、权限控制、血缘追踪、质量审计、授权留痕</w:t>
            </w:r>
          </w:p>
        </w:tc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形成可信、合规、可审计的数据治理体系</w:t>
            </w:r>
          </w:p>
        </w:tc>
      </w:tr>
      <w:tr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高质量数据集生产引擎</w:t>
            </w:r>
          </w:p>
        </w:tc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清洗、切片、标注、质检、知识抽取、问答构造、SFT样本、RAG入库、评测集生成</w:t>
            </w:r>
          </w:p>
        </w:tc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形成可供模型、知识库、智能体和评测使用的数据资产</w:t>
            </w:r>
          </w:p>
        </w:tc>
      </w:tr>
      <w:tr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资产服务运营层</w:t>
            </w:r>
          </w:p>
        </w:tc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数据集上架、知识包发布、接口服务、版本迭代、调用计量、结算分析</w:t>
            </w:r>
          </w:p>
        </w:tc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形成可持续运营的数据资产平台</w:t>
            </w:r>
          </w:p>
        </w:tc>
      </w:tr>
    </w:tbl>
    <w:p/>
    <w:p>
      <w:pPr>
        <w:spacing w:before="160" w:after="120" w:line="324" w:lineRule="auto"/>
      </w:pPr>
      <w:r>
        <w:rPr>
          <w:rFonts w:ascii="Noto Sans CJK SC" w:hAnsi="Noto Sans CJK SC" w:eastAsia="Noto Sans CJK SC"/>
          <w:b/>
          <w:color w:val="103A71"/>
          <w:sz w:val="32"/>
        </w:rPr>
        <w:t>四、方案A：面向省教育厅的省域教育AI数据底座</w:t>
      </w:r>
    </w:p>
    <w:p>
      <w:pPr>
        <w:spacing w:before="0" w:after="160" w:line="324" w:lineRule="auto"/>
      </w:pPr>
      <w:r>
        <w:rPr>
          <w:rFonts w:ascii="Noto Sans CJK SC" w:hAnsi="Noto Sans CJK SC" w:eastAsia="Noto Sans CJK SC"/>
          <w:b w:val="0"/>
          <w:color w:val="1F2937"/>
          <w:sz w:val="22"/>
        </w:rPr>
        <w:t>面向省教育厅客户，建议以“省域教育AI公共能力底座”作为核心售卖口径，而不是以单点系统或单一数据加工服务进入。</w:t>
      </w:r>
    </w:p>
    <w:p>
      <w:pPr>
        <w:spacing w:before="0" w:after="160" w:line="324" w:lineRule="auto"/>
      </w:pPr>
      <w:r>
        <w:rPr>
          <w:rFonts w:ascii="Noto Sans CJK SC" w:hAnsi="Noto Sans CJK SC" w:eastAsia="Noto Sans CJK SC"/>
          <w:b w:val="0"/>
          <w:color w:val="1F2937"/>
          <w:sz w:val="22"/>
        </w:rPr>
        <w:t>建议采用“1+3+N”建设模式：</w:t>
      </w:r>
    </w:p>
    <w:p>
      <w:pPr>
        <w:pStyle w:val="ListBullet"/>
        <w:spacing w:before="0" w:after="100" w:line="324" w:lineRule="auto"/>
      </w:pPr>
      <w:r>
        <w:rPr>
          <w:rFonts w:ascii="Noto Sans CJK SC" w:hAnsi="Noto Sans CJK SC" w:eastAsia="Noto Sans CJK SC"/>
          <w:b w:val="0"/>
          <w:color w:val="1F2937"/>
          <w:sz w:val="21"/>
        </w:rPr>
        <w:t>1个省级底座：建设省级可信AI数据底座，统一数据接入、治理、加工、发布、调用和审计。</w:t>
      </w:r>
    </w:p>
    <w:p>
      <w:pPr>
        <w:pStyle w:val="ListBullet"/>
        <w:spacing w:before="0" w:after="100" w:line="324" w:lineRule="auto"/>
      </w:pPr>
      <w:r>
        <w:rPr>
          <w:rFonts w:ascii="Noto Sans CJK SC" w:hAnsi="Noto Sans CJK SC" w:eastAsia="Noto Sans CJK SC"/>
          <w:b w:val="0"/>
          <w:color w:val="1F2937"/>
          <w:sz w:val="21"/>
        </w:rPr>
        <w:t>3类核心数据产品群：课程与教学数据集、教师发展与教研数据集、教育治理与公共服务数据集。</w:t>
      </w:r>
    </w:p>
    <w:p>
      <w:pPr>
        <w:pStyle w:val="ListBullet"/>
        <w:spacing w:before="0" w:after="100" w:line="324" w:lineRule="auto"/>
      </w:pPr>
      <w:r>
        <w:rPr>
          <w:rFonts w:ascii="Noto Sans CJK SC" w:hAnsi="Noto Sans CJK SC" w:eastAsia="Noto Sans CJK SC"/>
          <w:b w:val="0"/>
          <w:color w:val="1F2937"/>
          <w:sz w:val="21"/>
        </w:rPr>
        <w:t>N个地方特色专题：红色文化、地方历史、非遗、产业特色、双语资源、职业教育专题等。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86"/>
        <w:gridCol w:w="3286"/>
        <w:gridCol w:w="3286"/>
      </w:tblGrid>
      <w:tr>
        <w:tc>
          <w:tcPr>
            <w:tcW w:type="dxa" w:w="3286"/>
            <w:shd w:fill="103A71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>
            <w:pPr>
              <w:spacing w:before="0" w:after="40" w:line="324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2"/>
              </w:rPr>
              <w:t>建设层级</w:t>
            </w:r>
          </w:p>
        </w:tc>
        <w:tc>
          <w:tcPr>
            <w:tcW w:type="dxa" w:w="3286"/>
            <w:shd w:fill="1F6FEB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>
            <w:pPr>
              <w:spacing w:before="0" w:after="40" w:line="324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2"/>
              </w:rPr>
              <w:t>重点内容</w:t>
            </w:r>
          </w:p>
        </w:tc>
        <w:tc>
          <w:tcPr>
            <w:tcW w:type="dxa" w:w="3286"/>
            <w:shd w:fill="2AA7A0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>
            <w:pPr>
              <w:spacing w:before="0" w:after="40" w:line="324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2"/>
              </w:rPr>
              <w:t>建议成果</w:t>
            </w:r>
          </w:p>
        </w:tc>
      </w:tr>
      <w:tr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平台层</w:t>
            </w:r>
          </w:p>
        </w:tc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省级可信AI数据底座、目录与接入网关、权限审计与分类分级体系</w:t>
            </w:r>
          </w:p>
        </w:tc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形成省级统一底座与制度框架</w:t>
            </w:r>
          </w:p>
        </w:tc>
      </w:tr>
      <w:tr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数据产品层</w:t>
            </w:r>
          </w:p>
        </w:tc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人工智能通识资源包、地方课程与优质课例包、教师教研知识包、政策与公共服务知识包</w:t>
            </w:r>
          </w:p>
        </w:tc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形成首批高价值数据产品组合</w:t>
            </w:r>
          </w:p>
        </w:tc>
      </w:tr>
      <w:tr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应用层</w:t>
            </w:r>
          </w:p>
        </w:tc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课程助手、教研助手、教师培训助手、政策问答助手、教育治理助手</w:t>
            </w:r>
          </w:p>
        </w:tc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形成可展示、可复用的场景成果</w:t>
            </w:r>
          </w:p>
        </w:tc>
      </w:tr>
      <w:tr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示范层</w:t>
            </w:r>
          </w:p>
        </w:tc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试点地市、标杆学校、效果评估与复制模板</w:t>
            </w:r>
          </w:p>
        </w:tc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形成可推广的省域示范路径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859"/>
      </w:tblGrid>
      <w:tr>
        <w:tc>
          <w:tcPr>
            <w:tcW w:type="dxa" w:w="9859"/>
            <w:shd w:fill="1F6FEB"/>
            <w:tcBorders>
              <w:top w:val="single" w:sz="0" w:space="0" w:color="1F6FEB"/>
              <w:left w:val="single" w:sz="0" w:space="0" w:color="1F6FEB"/>
              <w:bottom w:val="single" w:sz="0" w:space="0" w:color="1F6FEB"/>
              <w:right w:val="single" w:sz="0" w:space="0" w:color="1F6FEB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/>
                <w:color w:val="FFFFFF"/>
                <w:sz w:val="23"/>
              </w:rPr>
              <w:t>省教育厅客户价值主张</w:t>
            </w:r>
          </w:p>
        </w:tc>
      </w:tr>
      <w:tr>
        <w:tc>
          <w:tcPr>
            <w:tcW w:type="dxa" w:w="9859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省教育厅买的不是“一个AI应用”，而是省域教育AI公共能力底座。项目价值体现在：统一底座、形成省级公共数据产品、支撑地市和学校协同接入、形成可复制推广的示范应用、建立年度运营和评估机制。</w:t>
            </w:r>
          </w:p>
        </w:tc>
      </w:tr>
    </w:tbl>
    <w:p/>
    <w:p>
      <w:r>
        <w:br w:type="page"/>
      </w:r>
    </w:p>
    <w:p>
      <w:pPr>
        <w:spacing w:before="160" w:after="120" w:line="324" w:lineRule="auto"/>
      </w:pPr>
      <w:r>
        <w:rPr>
          <w:rFonts w:ascii="Noto Sans CJK SC" w:hAnsi="Noto Sans CJK SC" w:eastAsia="Noto Sans CJK SC"/>
          <w:b/>
          <w:color w:val="103A71"/>
          <w:sz w:val="32"/>
        </w:rPr>
        <w:t>五、方案B：面向高校的校级学科与治理数据工厂</w:t>
      </w:r>
    </w:p>
    <w:p>
      <w:pPr>
        <w:spacing w:before="0" w:after="160" w:line="324" w:lineRule="auto"/>
      </w:pPr>
      <w:r>
        <w:rPr>
          <w:rFonts w:ascii="Noto Sans CJK SC" w:hAnsi="Noto Sans CJK SC" w:eastAsia="Noto Sans CJK SC"/>
          <w:b w:val="0"/>
          <w:color w:val="1F2937"/>
          <w:sz w:val="22"/>
        </w:rPr>
        <w:t>面向高校客户，建议以“校级可信AI数据底座 + 学科数据工厂 + 校园智能体数据资产中心”作为总体表达。</w:t>
      </w:r>
    </w:p>
    <w:p>
      <w:pPr>
        <w:spacing w:before="0" w:after="160" w:line="324" w:lineRule="auto"/>
      </w:pPr>
      <w:r>
        <w:rPr>
          <w:rFonts w:ascii="Noto Sans CJK SC" w:hAnsi="Noto Sans CJK SC" w:eastAsia="Noto Sans CJK SC"/>
          <w:b w:val="0"/>
          <w:color w:val="1F2937"/>
          <w:sz w:val="22"/>
        </w:rPr>
        <w:t>高校客户更关心学科升级、课程改革、科研转化和校务服务智能化，因此方案重点应放在学科差异化和校内持续运营上。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86"/>
        <w:gridCol w:w="3286"/>
        <w:gridCol w:w="3286"/>
      </w:tblGrid>
      <w:tr>
        <w:tc>
          <w:tcPr>
            <w:tcW w:type="dxa" w:w="3286"/>
            <w:shd w:fill="2AA7A0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>
            <w:pPr>
              <w:spacing w:before="0" w:after="40" w:line="324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2"/>
              </w:rPr>
              <w:t>重点方向</w:t>
            </w:r>
          </w:p>
        </w:tc>
        <w:tc>
          <w:tcPr>
            <w:tcW w:type="dxa" w:w="3286"/>
            <w:shd w:fill="1F6FEB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>
            <w:pPr>
              <w:spacing w:before="0" w:after="40" w:line="324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2"/>
              </w:rPr>
              <w:t>建设内容</w:t>
            </w:r>
          </w:p>
        </w:tc>
        <w:tc>
          <w:tcPr>
            <w:tcW w:type="dxa" w:w="3286"/>
            <w:shd w:fill="103A71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>
            <w:pPr>
              <w:spacing w:before="0" w:after="40" w:line="324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2"/>
              </w:rPr>
              <w:t>业务价值</w:t>
            </w:r>
          </w:p>
        </w:tc>
      </w:tr>
      <w:tr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校务知识与服务数据集</w:t>
            </w:r>
          </w:p>
        </w:tc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制度文件、教务流程、科研管理、学生事务、招生就业、办事指南</w:t>
            </w:r>
          </w:p>
        </w:tc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支撑问答、服务与流程助手</w:t>
            </w:r>
          </w:p>
        </w:tc>
      </w:tr>
      <w:tr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学科特色高质量数据集</w:t>
            </w:r>
          </w:p>
        </w:tc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院系级、专业级、实验级数据，如师范、医学、工科、财经学科包</w:t>
            </w:r>
          </w:p>
        </w:tc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支撑AI+X学科升级</w:t>
            </w:r>
          </w:p>
        </w:tc>
      </w:tr>
      <w:tr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课程与实践数据集</w:t>
            </w:r>
          </w:p>
        </w:tc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AI公共课、专业课升级、案例库、题库、实验与项目数据</w:t>
            </w:r>
          </w:p>
        </w:tc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支撑课程改革与教学创新</w:t>
            </w:r>
          </w:p>
        </w:tc>
      </w:tr>
      <w:tr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模型评测与智能体优化数据集</w:t>
            </w:r>
          </w:p>
        </w:tc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准确性、安全性、可靠性、适配性、教学适用性评测</w:t>
            </w:r>
          </w:p>
        </w:tc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支撑模型与智能体持续迭代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859"/>
      </w:tblGrid>
      <w:tr>
        <w:tc>
          <w:tcPr>
            <w:tcW w:type="dxa" w:w="9859"/>
            <w:shd w:fill="2AA7A0"/>
            <w:tcBorders>
              <w:top w:val="single" w:sz="0" w:space="0" w:color="2AA7A0"/>
              <w:left w:val="single" w:sz="0" w:space="0" w:color="2AA7A0"/>
              <w:bottom w:val="single" w:sz="0" w:space="0" w:color="2AA7A0"/>
              <w:right w:val="single" w:sz="0" w:space="0" w:color="2AA7A0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/>
                <w:color w:val="FFFFFF"/>
                <w:sz w:val="23"/>
              </w:rPr>
              <w:t>高校客户价值主张</w:t>
            </w:r>
          </w:p>
        </w:tc>
      </w:tr>
      <w:tr>
        <w:tc>
          <w:tcPr>
            <w:tcW w:type="dxa" w:w="9859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高校买的是“校级数据资产持续生产能力”。</w:t>
            </w:r>
          </w:p>
        </w:tc>
      </w:tr>
    </w:tbl>
    <w:p/>
    <w:p>
      <w:r>
        <w:br w:type="page"/>
      </w:r>
    </w:p>
    <w:p>
      <w:pPr>
        <w:spacing w:before="160" w:after="120" w:line="324" w:lineRule="auto"/>
      </w:pPr>
      <w:r>
        <w:rPr>
          <w:rFonts w:ascii="Noto Sans CJK SC" w:hAnsi="Noto Sans CJK SC" w:eastAsia="Noto Sans CJK SC"/>
          <w:b/>
          <w:color w:val="103A71"/>
          <w:sz w:val="32"/>
        </w:rPr>
        <w:t>六、高质量数据集生产引擎设计</w:t>
      </w:r>
    </w:p>
    <w:p>
      <w:pPr>
        <w:spacing w:before="0" w:after="160" w:line="324" w:lineRule="auto"/>
      </w:pPr>
      <w:r>
        <w:rPr>
          <w:rFonts w:ascii="Noto Sans CJK SC" w:hAnsi="Noto Sans CJK SC" w:eastAsia="Noto Sans CJK SC"/>
          <w:b w:val="0"/>
          <w:color w:val="1F2937"/>
          <w:sz w:val="22"/>
        </w:rPr>
        <w:t>高质量数据集生产引擎应覆盖“盘点—治理—生产—评测—发布—运营”六个环节，避免只做语料加工、缺少治理闭环和运营闭环。</w:t>
      </w:r>
    </w:p>
    <w:p>
      <w:pPr>
        <w:pStyle w:val="ListBullet"/>
        <w:spacing w:before="0" w:after="100" w:line="324" w:lineRule="auto"/>
      </w:pPr>
      <w:r>
        <w:rPr>
          <w:rFonts w:ascii="Noto Sans CJK SC" w:hAnsi="Noto Sans CJK SC" w:eastAsia="Noto Sans CJK SC"/>
          <w:b w:val="0"/>
          <w:color w:val="1F2937"/>
          <w:sz w:val="21"/>
        </w:rPr>
        <w:t>数据盘点：完成来源识别、业务梳理、数据目录建立和使用边界定义。</w:t>
      </w:r>
    </w:p>
    <w:p>
      <w:pPr>
        <w:pStyle w:val="ListBullet"/>
        <w:spacing w:before="0" w:after="100" w:line="324" w:lineRule="auto"/>
      </w:pPr>
      <w:r>
        <w:rPr>
          <w:rFonts w:ascii="Noto Sans CJK SC" w:hAnsi="Noto Sans CJK SC" w:eastAsia="Noto Sans CJK SC"/>
          <w:b w:val="0"/>
          <w:color w:val="1F2937"/>
          <w:sz w:val="21"/>
        </w:rPr>
        <w:t>治理合规：完成分类分级、脱敏去标识、权限控制、去重清洗和格式标准化。</w:t>
      </w:r>
    </w:p>
    <w:p>
      <w:pPr>
        <w:pStyle w:val="ListBullet"/>
        <w:spacing w:before="0" w:after="100" w:line="324" w:lineRule="auto"/>
      </w:pPr>
      <w:r>
        <w:rPr>
          <w:rFonts w:ascii="Noto Sans CJK SC" w:hAnsi="Noto Sans CJK SC" w:eastAsia="Noto Sans CJK SC"/>
          <w:b w:val="0"/>
          <w:color w:val="1F2937"/>
          <w:sz w:val="21"/>
        </w:rPr>
        <w:t>生产加工：通过人工、规则和模型协同方式完成标注、质检、知识抽取、问答构造与样本生成。</w:t>
      </w:r>
    </w:p>
    <w:p>
      <w:pPr>
        <w:pStyle w:val="ListBullet"/>
        <w:spacing w:before="0" w:after="100" w:line="324" w:lineRule="auto"/>
      </w:pPr>
      <w:r>
        <w:rPr>
          <w:rFonts w:ascii="Noto Sans CJK SC" w:hAnsi="Noto Sans CJK SC" w:eastAsia="Noto Sans CJK SC"/>
          <w:b w:val="0"/>
          <w:color w:val="1F2937"/>
          <w:sz w:val="21"/>
        </w:rPr>
        <w:t>质量评测：围绕准确性、完整性、一致性、时效性、安全性和教学适配性形成评测报告。</w:t>
      </w:r>
    </w:p>
    <w:p>
      <w:pPr>
        <w:pStyle w:val="ListBullet"/>
        <w:spacing w:before="0" w:after="100" w:line="324" w:lineRule="auto"/>
      </w:pPr>
      <w:r>
        <w:rPr>
          <w:rFonts w:ascii="Noto Sans CJK SC" w:hAnsi="Noto Sans CJK SC" w:eastAsia="Noto Sans CJK SC"/>
          <w:b w:val="0"/>
          <w:color w:val="1F2937"/>
          <w:sz w:val="21"/>
        </w:rPr>
        <w:t>发布服务：将数据资产封装为训练数据集、知识包、评测集和接口服务。</w:t>
      </w:r>
    </w:p>
    <w:p>
      <w:pPr>
        <w:pStyle w:val="ListBullet"/>
        <w:spacing w:before="0" w:after="100" w:line="324" w:lineRule="auto"/>
      </w:pPr>
      <w:r>
        <w:rPr>
          <w:rFonts w:ascii="Noto Sans CJK SC" w:hAnsi="Noto Sans CJK SC" w:eastAsia="Noto Sans CJK SC"/>
          <w:b w:val="0"/>
          <w:color w:val="1F2937"/>
          <w:sz w:val="21"/>
        </w:rPr>
        <w:t>持续运营：形成版本管理、效果复盘和使用分析，支撑持续更新。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859"/>
      </w:tblGrid>
      <w:tr>
        <w:tc>
          <w:tcPr>
            <w:tcW w:type="dxa" w:w="9859"/>
            <w:shd w:fill="F59E0B"/>
            <w:tcBorders>
              <w:top w:val="single" w:sz="0" w:space="0" w:color="F59E0B"/>
              <w:left w:val="single" w:sz="0" w:space="0" w:color="F59E0B"/>
              <w:bottom w:val="single" w:sz="0" w:space="0" w:color="F59E0B"/>
              <w:right w:val="single" w:sz="0" w:space="0" w:color="F59E0B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/>
                <w:color w:val="FFFFFF"/>
                <w:sz w:val="23"/>
              </w:rPr>
              <w:t>产品边界建议</w:t>
            </w:r>
          </w:p>
        </w:tc>
      </w:tr>
      <w:tr>
        <w:tc>
          <w:tcPr>
            <w:tcW w:type="dxa" w:w="9859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不建议与国家层面教育基础语料库、教育专用大模型进行重复建设；应聚焦省域特色数据、院校特色学科数据、场景知识包和评测数据等“特色、高价值、可复用”的数据资产。</w:t>
            </w:r>
          </w:p>
        </w:tc>
      </w:tr>
    </w:tbl>
    <w:p/>
    <w:p>
      <w:pPr>
        <w:spacing w:before="160" w:after="120" w:line="324" w:lineRule="auto"/>
      </w:pPr>
      <w:r>
        <w:rPr>
          <w:rFonts w:ascii="Noto Sans CJK SC" w:hAnsi="Noto Sans CJK SC" w:eastAsia="Noto Sans CJK SC"/>
          <w:b/>
          <w:color w:val="103A71"/>
          <w:sz w:val="32"/>
        </w:rPr>
        <w:t>七、Data Token 商业模式设计</w:t>
      </w:r>
    </w:p>
    <w:p>
      <w:pPr>
        <w:spacing w:before="0" w:after="160" w:line="324" w:lineRule="auto"/>
      </w:pPr>
      <w:r>
        <w:rPr>
          <w:rFonts w:ascii="Noto Sans CJK SC" w:hAnsi="Noto Sans CJK SC" w:eastAsia="Noto Sans CJK SC"/>
          <w:b w:val="0"/>
          <w:color w:val="1F2937"/>
          <w:sz w:val="22"/>
        </w:rPr>
        <w:t>Data Token 建议定义为：可信AI数据底座上的“数据价值计量单位”，而非金融化概念。</w:t>
      </w:r>
    </w:p>
    <w:p>
      <w:pPr>
        <w:spacing w:before="0" w:after="160" w:line="324" w:lineRule="auto"/>
      </w:pPr>
      <w:r>
        <w:rPr>
          <w:rFonts w:ascii="Noto Sans CJK SC" w:hAnsi="Noto Sans CJK SC" w:eastAsia="Noto Sans CJK SC"/>
          <w:b w:val="0"/>
          <w:color w:val="1F2937"/>
          <w:sz w:val="22"/>
        </w:rPr>
        <w:t>其目标是把数据生产、数据资产、数据调用和数据共建激励纳入统一的计量与结算体系。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86"/>
        <w:gridCol w:w="3286"/>
        <w:gridCol w:w="3286"/>
      </w:tblGrid>
      <w:tr>
        <w:tc>
          <w:tcPr>
            <w:tcW w:type="dxa" w:w="3286"/>
            <w:shd w:fill="103A71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>
            <w:pPr>
              <w:spacing w:before="0" w:after="40" w:line="324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2"/>
              </w:rPr>
              <w:t>Token 计量对象</w:t>
            </w:r>
          </w:p>
        </w:tc>
        <w:tc>
          <w:tcPr>
            <w:tcW w:type="dxa" w:w="3286"/>
            <w:shd w:fill="1F6FEB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>
            <w:pPr>
              <w:spacing w:before="0" w:after="40" w:line="324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2"/>
              </w:rPr>
              <w:t>适用说明</w:t>
            </w:r>
          </w:p>
        </w:tc>
        <w:tc>
          <w:tcPr>
            <w:tcW w:type="dxa" w:w="3286"/>
            <w:shd w:fill="2AA7A0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>
            <w:pPr>
              <w:spacing w:before="0" w:after="40" w:line="324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2"/>
              </w:rPr>
              <w:t>典型场景</w:t>
            </w:r>
          </w:p>
        </w:tc>
      </w:tr>
      <w:tr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数据生产价值</w:t>
            </w:r>
          </w:p>
        </w:tc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计量清洗、标注、质检、知识抽取、多模态加工等生产工作量</w:t>
            </w:r>
          </w:p>
        </w:tc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首批专题数据集建设、增量迭代</w:t>
            </w:r>
          </w:p>
        </w:tc>
      </w:tr>
      <w:tr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数据资产价值</w:t>
            </w:r>
          </w:p>
        </w:tc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为数据集、知识包、评测集、智能体底包建立上架与额度映射</w:t>
            </w:r>
          </w:p>
        </w:tc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专题数据产品上架、产品组合销售</w:t>
            </w:r>
          </w:p>
        </w:tc>
      </w:tr>
      <w:tr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数据调用价值</w:t>
            </w:r>
          </w:p>
        </w:tc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按学校、学院、处室、场景或项目进行调用配额管理</w:t>
            </w:r>
          </w:p>
        </w:tc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问答助手调用、智能体服务、部门配额</w:t>
            </w:r>
          </w:p>
        </w:tc>
      </w:tr>
      <w:tr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共建激励价值</w:t>
            </w:r>
          </w:p>
        </w:tc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为数据共建、资源共享、内容更新与应用效果提供激励依据</w:t>
            </w:r>
          </w:p>
        </w:tc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省域协同共建、院系团队共建</w:t>
            </w:r>
          </w:p>
        </w:tc>
      </w:tr>
    </w:tbl>
    <w:p/>
    <w:p>
      <w:pPr>
        <w:spacing w:before="0" w:after="160" w:line="324" w:lineRule="auto"/>
      </w:pPr>
      <w:r>
        <w:rPr>
          <w:rFonts w:ascii="Noto Sans CJK SC" w:hAnsi="Noto Sans CJK SC" w:eastAsia="Noto Sans CJK SC"/>
          <w:b w:val="0"/>
          <w:color w:val="1F2937"/>
          <w:sz w:val="22"/>
        </w:rPr>
        <w:t>省教育厅场景下，Data Token 更适合承担年度统一采购后的配额分配、地市/学校共建共享激励与持续运营结算功能。</w:t>
      </w:r>
    </w:p>
    <w:p>
      <w:pPr>
        <w:spacing w:before="0" w:after="160" w:line="324" w:lineRule="auto"/>
      </w:pPr>
      <w:r>
        <w:rPr>
          <w:rFonts w:ascii="Noto Sans CJK SC" w:hAnsi="Noto Sans CJK SC" w:eastAsia="Noto Sans CJK SC"/>
          <w:b w:val="0"/>
          <w:color w:val="1F2937"/>
          <w:sz w:val="22"/>
        </w:rPr>
        <w:t>高校场景下，Data Token 更适合承担校内部门和学院配额管理、数据工厂运营计量、科研项目结算和教师团队共建激励功能。</w:t>
      </w:r>
    </w:p>
    <w:p>
      <w:pPr>
        <w:spacing w:before="160" w:after="120" w:line="324" w:lineRule="auto"/>
      </w:pPr>
      <w:r>
        <w:rPr>
          <w:rFonts w:ascii="Noto Sans CJK SC" w:hAnsi="Noto Sans CJK SC" w:eastAsia="Noto Sans CJK SC"/>
          <w:b/>
          <w:color w:val="103A71"/>
          <w:sz w:val="32"/>
        </w:rPr>
        <w:t>八、商业模式与实施路径建议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86"/>
        <w:gridCol w:w="3286"/>
        <w:gridCol w:w="3286"/>
      </w:tblGrid>
      <w:tr>
        <w:tc>
          <w:tcPr>
            <w:tcW w:type="dxa" w:w="3286"/>
            <w:shd w:fill="103A71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>
            <w:pPr>
              <w:spacing w:before="0" w:after="40" w:line="324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2"/>
              </w:rPr>
              <w:t>收费层级</w:t>
            </w:r>
          </w:p>
        </w:tc>
        <w:tc>
          <w:tcPr>
            <w:tcW w:type="dxa" w:w="3286"/>
            <w:shd w:fill="1F6FEB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>
            <w:pPr>
              <w:spacing w:before="0" w:after="40" w:line="324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2"/>
              </w:rPr>
              <w:t>主要内容</w:t>
            </w:r>
          </w:p>
        </w:tc>
        <w:tc>
          <w:tcPr>
            <w:tcW w:type="dxa" w:w="3286"/>
            <w:shd w:fill="2AA7A0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>
            <w:pPr>
              <w:spacing w:before="0" w:after="40" w:line="324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2"/>
              </w:rPr>
              <w:t>建议口径</w:t>
            </w:r>
          </w:p>
        </w:tc>
      </w:tr>
      <w:tr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平台建设费</w:t>
            </w:r>
          </w:p>
        </w:tc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可信AI数据底座、高质量数据集生产引擎、基础部署与集成</w:t>
            </w:r>
          </w:p>
        </w:tc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一次性建设费用</w:t>
            </w:r>
          </w:p>
        </w:tc>
      </w:tr>
      <w:tr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专题数据产品费</w:t>
            </w:r>
          </w:p>
        </w:tc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首批数据集、知识包、评测集、智能体底包</w:t>
            </w:r>
          </w:p>
        </w:tc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按专题/场景交付</w:t>
            </w:r>
          </w:p>
        </w:tc>
      </w:tr>
      <w:tr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年度Token包</w:t>
            </w:r>
          </w:p>
        </w:tc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新增数据生产、数据调用、数据更新、评测优化</w:t>
            </w:r>
          </w:p>
        </w:tc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年度订阅与增量消耗</w:t>
            </w:r>
          </w:p>
        </w:tc>
      </w:tr>
      <w:tr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运营陪跑费</w:t>
            </w:r>
          </w:p>
        </w:tc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制度建设、质量评估、应用扩容、效果复盘、模型适配</w:t>
            </w:r>
          </w:p>
        </w:tc>
        <w:tc>
          <w:tcPr>
            <w:tcW w:type="dxa" w:w="3286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持续运营服务</w:t>
            </w:r>
          </w:p>
        </w:tc>
      </w:tr>
    </w:tbl>
    <w:p/>
    <w:p>
      <w:pPr>
        <w:pStyle w:val="ListBullet"/>
        <w:spacing w:before="0" w:after="100" w:line="324" w:lineRule="auto"/>
      </w:pPr>
      <w:r>
        <w:rPr>
          <w:rFonts w:ascii="Noto Sans CJK SC" w:hAnsi="Noto Sans CJK SC" w:eastAsia="Noto Sans CJK SC"/>
          <w:b w:val="0"/>
          <w:color w:val="1F2937"/>
          <w:sz w:val="21"/>
        </w:rPr>
        <w:t>第一阶段：规划与盘点。完成数据资产梳理、场景识别、制度设计和首批专题选择。</w:t>
      </w:r>
    </w:p>
    <w:p>
      <w:pPr>
        <w:pStyle w:val="ListBullet"/>
        <w:spacing w:before="0" w:after="100" w:line="324" w:lineRule="auto"/>
      </w:pPr>
      <w:r>
        <w:rPr>
          <w:rFonts w:ascii="Noto Sans CJK SC" w:hAnsi="Noto Sans CJK SC" w:eastAsia="Noto Sans CJK SC"/>
          <w:b w:val="0"/>
          <w:color w:val="1F2937"/>
          <w:sz w:val="21"/>
        </w:rPr>
        <w:t>第二阶段：平台与首批数据产品建设。部署可信AI数据底座，上线高质量数据集生产引擎，完成首批专题包。</w:t>
      </w:r>
    </w:p>
    <w:p>
      <w:pPr>
        <w:pStyle w:val="ListBullet"/>
        <w:spacing w:before="0" w:after="100" w:line="324" w:lineRule="auto"/>
      </w:pPr>
      <w:r>
        <w:rPr>
          <w:rFonts w:ascii="Noto Sans CJK SC" w:hAnsi="Noto Sans CJK SC" w:eastAsia="Noto Sans CJK SC"/>
          <w:b w:val="0"/>
          <w:color w:val="1F2937"/>
          <w:sz w:val="21"/>
        </w:rPr>
        <w:t>第三阶段：场景验证与Token运营。上线问答、教研、治理等场景，建立调用配额与结算机制。</w:t>
      </w:r>
    </w:p>
    <w:p>
      <w:pPr>
        <w:pStyle w:val="ListBullet"/>
        <w:spacing w:before="0" w:after="100" w:line="324" w:lineRule="auto"/>
      </w:pPr>
      <w:r>
        <w:rPr>
          <w:rFonts w:ascii="Noto Sans CJK SC" w:hAnsi="Noto Sans CJK SC" w:eastAsia="Noto Sans CJK SC"/>
          <w:b w:val="0"/>
          <w:color w:val="1F2937"/>
          <w:sz w:val="21"/>
        </w:rPr>
        <w:t>第四阶段：复制推广。面向省域进行地市/学校复制，面向高校进行院系/团队复制。</w:t>
      </w:r>
    </w:p>
    <w:p>
      <w:pPr>
        <w:spacing w:before="160" w:after="120" w:line="324" w:lineRule="auto"/>
      </w:pPr>
      <w:r>
        <w:rPr>
          <w:rFonts w:ascii="Noto Sans CJK SC" w:hAnsi="Noto Sans CJK SC" w:eastAsia="Noto Sans CJK SC"/>
          <w:b/>
          <w:color w:val="103A71"/>
          <w:sz w:val="32"/>
        </w:rPr>
        <w:t>九、风险控制与合规建议</w:t>
      </w:r>
    </w:p>
    <w:p>
      <w:pPr>
        <w:pStyle w:val="ListBullet"/>
        <w:spacing w:before="0" w:after="100" w:line="324" w:lineRule="auto"/>
      </w:pPr>
      <w:r>
        <w:rPr>
          <w:rFonts w:ascii="Noto Sans CJK SC" w:hAnsi="Noto Sans CJK SC" w:eastAsia="Noto Sans CJK SC"/>
          <w:b w:val="0"/>
          <w:color w:val="1F2937"/>
          <w:sz w:val="21"/>
        </w:rPr>
        <w:t>坚持教育数据分类分级管理，明确一般数据、重要数据和核心数据的使用边界。</w:t>
      </w:r>
    </w:p>
    <w:p>
      <w:pPr>
        <w:pStyle w:val="ListBullet"/>
        <w:spacing w:before="0" w:after="100" w:line="324" w:lineRule="auto"/>
      </w:pPr>
      <w:r>
        <w:rPr>
          <w:rFonts w:ascii="Noto Sans CJK SC" w:hAnsi="Noto Sans CJK SC" w:eastAsia="Noto Sans CJK SC"/>
          <w:b w:val="0"/>
          <w:color w:val="1F2937"/>
          <w:sz w:val="21"/>
        </w:rPr>
        <w:t>涉及未成年人数据的场景必须坚持最小必要原则，优先采用匿名化、样例化、知识化和统计化输出。</w:t>
      </w:r>
    </w:p>
    <w:p>
      <w:pPr>
        <w:pStyle w:val="ListBullet"/>
        <w:spacing w:before="0" w:after="100" w:line="324" w:lineRule="auto"/>
      </w:pPr>
      <w:r>
        <w:rPr>
          <w:rFonts w:ascii="Noto Sans CJK SC" w:hAnsi="Noto Sans CJK SC" w:eastAsia="Noto Sans CJK SC"/>
          <w:b w:val="0"/>
          <w:color w:val="1F2937"/>
          <w:sz w:val="21"/>
        </w:rPr>
        <w:t>训练数据、知识库数据、评测数据应建立独立的授权、审核和版本机制。</w:t>
      </w:r>
    </w:p>
    <w:p>
      <w:pPr>
        <w:pStyle w:val="ListBullet"/>
        <w:spacing w:before="0" w:after="100" w:line="324" w:lineRule="auto"/>
      </w:pPr>
      <w:r>
        <w:rPr>
          <w:rFonts w:ascii="Noto Sans CJK SC" w:hAnsi="Noto Sans CJK SC" w:eastAsia="Noto Sans CJK SC"/>
          <w:b w:val="0"/>
          <w:color w:val="1F2937"/>
          <w:sz w:val="21"/>
        </w:rPr>
        <w:t>所有面向教育业务的生成式AI应用，均应保留人工审核、使用日志和可追溯机制。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859"/>
      </w:tblGrid>
      <w:tr>
        <w:tc>
          <w:tcPr>
            <w:tcW w:type="dxa" w:w="9859"/>
            <w:shd w:fill="103A71"/>
            <w:tcBorders>
              <w:top w:val="single" w:sz="0" w:space="0" w:color="103A71"/>
              <w:left w:val="single" w:sz="0" w:space="0" w:color="103A71"/>
              <w:bottom w:val="single" w:sz="0" w:space="0" w:color="103A71"/>
              <w:right w:val="single" w:sz="0" w:space="0" w:color="103A71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/>
                <w:color w:val="FFFFFF"/>
                <w:sz w:val="23"/>
              </w:rPr>
              <w:t>合规底线</w:t>
            </w:r>
          </w:p>
        </w:tc>
      </w:tr>
      <w:tr>
        <w:tc>
          <w:tcPr>
            <w:tcW w:type="dxa" w:w="9859"/>
            <w:shd w:fill="F5F7FB"/>
            <w:tcBorders>
              <w:top w:val="single" w:sz="8" w:space="0" w:color="D8E1EF"/>
              <w:left w:val="single" w:sz="8" w:space="0" w:color="D8E1EF"/>
              <w:bottom w:val="single" w:sz="8" w:space="0" w:color="D8E1EF"/>
              <w:right w:val="single" w:sz="8" w:space="0" w:color="D8E1EF"/>
            </w:tcBorders>
          </w:tcPr>
          <w:p>
            <w:pPr>
              <w:spacing w:before="0" w:after="40" w:line="324" w:lineRule="auto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20"/>
              </w:rPr>
              <w:t>教育客户最担心的不是“有没有AI”，而是“AI是否可信、是否合规、能否长期运营”。因此，可信治理能力不是附属条款，而是成交前提。</w:t>
            </w:r>
          </w:p>
        </w:tc>
      </w:tr>
    </w:tbl>
    <w:p/>
    <w:p>
      <w:pPr>
        <w:spacing w:before="160" w:after="120" w:line="324" w:lineRule="auto"/>
      </w:pPr>
      <w:r>
        <w:rPr>
          <w:rFonts w:ascii="Noto Sans CJK SC" w:hAnsi="Noto Sans CJK SC" w:eastAsia="Noto Sans CJK SC"/>
          <w:b/>
          <w:color w:val="103A71"/>
          <w:sz w:val="32"/>
        </w:rPr>
        <w:t>十、结论与合作建议</w:t>
      </w:r>
    </w:p>
    <w:p>
      <w:pPr>
        <w:spacing w:before="0" w:after="160" w:line="324" w:lineRule="auto"/>
      </w:pPr>
      <w:r>
        <w:rPr>
          <w:rFonts w:ascii="Noto Sans CJK SC" w:hAnsi="Noto Sans CJK SC" w:eastAsia="Noto Sans CJK SC"/>
          <w:b w:val="0"/>
          <w:color w:val="1F2937"/>
          <w:sz w:val="22"/>
        </w:rPr>
        <w:t>综合判断，面向教育行业规划“高质量语料车间/数据集生产引擎”是可行的，但更优表达应升级为“教育行业可信AI数据底座 + 高质量数据集生产引擎”。</w:t>
      </w:r>
    </w:p>
    <w:p>
      <w:pPr>
        <w:spacing w:before="0" w:after="160" w:line="324" w:lineRule="auto"/>
      </w:pPr>
      <w:r>
        <w:rPr>
          <w:rFonts w:ascii="Noto Sans CJK SC" w:hAnsi="Noto Sans CJK SC" w:eastAsia="Noto Sans CJK SC"/>
          <w:b w:val="0"/>
          <w:color w:val="1F2937"/>
          <w:sz w:val="22"/>
        </w:rPr>
        <w:t>对省教育厅客户，应突出“省域教育AI公共能力底座”；对高校客户，应突出“校级学科与治理数据工厂”；两类方案共同依托可信AI数据底座，并通过 Data Token 实现数据资产的持续生产与运营。</w:t>
      </w:r>
    </w:p>
    <w:p>
      <w:pPr>
        <w:spacing w:before="0" w:after="160" w:line="324" w:lineRule="auto"/>
      </w:pPr>
      <w:r>
        <w:rPr>
          <w:rFonts w:ascii="Noto Sans CJK SC" w:hAnsi="Noto Sans CJK SC" w:eastAsia="Noto Sans CJK SC"/>
          <w:b w:val="0"/>
          <w:color w:val="1F2937"/>
          <w:sz w:val="22"/>
        </w:rPr>
        <w:t>建议采用“平台建设 + 首批专题数据产品 + 年度Token包 + 运营陪跑”的商业化路径，并优先通过厅级试点和院系试点验证业务价值。</w:t>
      </w:r>
    </w:p>
    <w:p>
      <w:pPr>
        <w:spacing w:before="160" w:after="120" w:line="324" w:lineRule="auto"/>
      </w:pPr>
      <w:r>
        <w:rPr>
          <w:rFonts w:ascii="Noto Sans CJK SC" w:hAnsi="Noto Sans CJK SC" w:eastAsia="Noto Sans CJK SC"/>
          <w:b/>
          <w:color w:val="103A71"/>
          <w:sz w:val="32"/>
        </w:rPr>
        <w:t>附录：参考政策与公开资料</w:t>
      </w:r>
    </w:p>
    <w:p>
      <w:pPr>
        <w:pStyle w:val="ListBullet"/>
        <w:spacing w:before="0" w:after="100" w:line="324" w:lineRule="auto"/>
      </w:pPr>
      <w:r>
        <w:rPr>
          <w:rFonts w:ascii="Noto Sans CJK SC" w:hAnsi="Noto Sans CJK SC" w:eastAsia="Noto Sans CJK SC"/>
          <w:b w:val="0"/>
          <w:color w:val="1F2937"/>
          <w:sz w:val="21"/>
        </w:rPr>
        <w:t>教育部等五部门关于印发《“人工智能+教育”行动计划》的通知，教育部，2026-04-08。</w:t>
      </w:r>
    </w:p>
    <w:p>
      <w:pPr>
        <w:pStyle w:val="ListBullet"/>
        <w:spacing w:before="0" w:after="100" w:line="324" w:lineRule="auto"/>
      </w:pPr>
      <w:r>
        <w:rPr>
          <w:rFonts w:ascii="Noto Sans CJK SC" w:hAnsi="Noto Sans CJK SC" w:eastAsia="Noto Sans CJK SC"/>
          <w:b w:val="0"/>
          <w:color w:val="1F2937"/>
          <w:sz w:val="21"/>
        </w:rPr>
        <w:t>教育部召开国家教育数字化战略行动2026年部署会，全面深入推动“人工智能+教育”，教育部，2026-03-31。</w:t>
      </w:r>
    </w:p>
    <w:p>
      <w:pPr>
        <w:pStyle w:val="ListBullet"/>
        <w:spacing w:before="0" w:after="100" w:line="324" w:lineRule="auto"/>
      </w:pPr>
      <w:r>
        <w:rPr>
          <w:rFonts w:ascii="Noto Sans CJK SC" w:hAnsi="Noto Sans CJK SC" w:eastAsia="Noto Sans CJK SC"/>
          <w:b w:val="0"/>
          <w:color w:val="1F2937"/>
          <w:sz w:val="21"/>
        </w:rPr>
        <w:t>教育部科学技术与信息化司负责人就《“人工智能+教育”行动计划》答记者问，教育部，2026-04-10。</w:t>
      </w:r>
    </w:p>
    <w:p>
      <w:pPr>
        <w:pStyle w:val="ListBullet"/>
        <w:spacing w:before="0" w:after="100" w:line="324" w:lineRule="auto"/>
      </w:pPr>
      <w:r>
        <w:rPr>
          <w:rFonts w:ascii="Noto Sans CJK SC" w:hAnsi="Noto Sans CJK SC" w:eastAsia="Noto Sans CJK SC"/>
          <w:b w:val="0"/>
          <w:color w:val="1F2937"/>
          <w:sz w:val="21"/>
        </w:rPr>
        <w:t>“人工智能+教育”，“加”什么、如何“加”——《“人工智能+教育”行动计划》解读，教育部转载《中国教育报》，2026-04-11。</w:t>
      </w:r>
    </w:p>
    <w:p>
      <w:pPr>
        <w:pStyle w:val="ListBullet"/>
        <w:spacing w:before="0" w:after="100" w:line="324" w:lineRule="auto"/>
      </w:pPr>
      <w:r>
        <w:rPr>
          <w:rFonts w:ascii="Noto Sans CJK SC" w:hAnsi="Noto Sans CJK SC" w:eastAsia="Noto Sans CJK SC"/>
          <w:b w:val="0"/>
          <w:color w:val="1F2937"/>
          <w:sz w:val="21"/>
        </w:rPr>
        <w:t>教育部关于发布《教育数据分类分级指南》和《大屏幕交互式智能教学终端通用要求》两项教育行业标准的通知，教育部，2025-12-18/2026-01-09。</w:t>
      </w:r>
    </w:p>
    <w:p>
      <w:pPr>
        <w:pStyle w:val="ListBullet"/>
        <w:spacing w:before="0" w:after="100" w:line="324" w:lineRule="auto"/>
      </w:pPr>
      <w:r>
        <w:rPr>
          <w:rFonts w:ascii="Noto Sans CJK SC" w:hAnsi="Noto Sans CJK SC" w:eastAsia="Noto Sans CJK SC"/>
          <w:b w:val="0"/>
          <w:color w:val="1F2937"/>
          <w:sz w:val="21"/>
        </w:rPr>
        <w:t>《高质量数据集建设指引》发布，国家数据局，2025-08-30。</w:t>
      </w:r>
    </w:p>
    <w:p>
      <w:pPr>
        <w:pStyle w:val="ListBullet"/>
        <w:spacing w:before="0" w:after="100" w:line="324" w:lineRule="auto"/>
      </w:pPr>
      <w:r>
        <w:rPr>
          <w:rFonts w:ascii="Noto Sans CJK SC" w:hAnsi="Noto Sans CJK SC" w:eastAsia="Noto Sans CJK SC"/>
          <w:b w:val="0"/>
          <w:color w:val="1F2937"/>
          <w:sz w:val="21"/>
        </w:rPr>
        <w:t>国家发展改革委、国家数据局、财政部、人力资源社会保障部联合印发《关于促进数据标注产业高质量发展的实施意见》，国家数据局，2025-01-13。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247" w:right="113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 w:line="324" w:lineRule="auto"/>
      <w:jc w:val="center"/>
    </w:pPr>
    <w:r>
      <w:rPr>
        <w:rFonts w:ascii="Noto Sans CJK SC" w:hAnsi="Noto Sans CJK SC" w:eastAsia="Noto Sans CJK SC"/>
        <w:b w:val="0"/>
        <w:color w:val="6B7280"/>
        <w:sz w:val="18"/>
      </w:rPr>
      <w:t>正式方案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before="0" w:after="0" w:line="324" w:lineRule="auto"/>
      <w:jc w:val="right"/>
    </w:pPr>
    <w:r>
      <w:rPr>
        <w:rFonts w:ascii="Noto Sans CJK SC" w:hAnsi="Noto Sans CJK SC" w:eastAsia="Noto Sans CJK SC"/>
        <w:b w:val="0"/>
        <w:color w:val="6B7280"/>
        <w:sz w:val="18"/>
      </w:rPr>
      <w:t>软通数据｜教育行业可信AI数据底座解决方案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CJK SC" w:hAnsi="Noto Sans CJK SC" w:eastAsia="Noto Sans CJK SC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Noto Sans CJK SC" w:hAnsi="Noto Sans CJK SC" w:eastAsia="Noto Sans CJK SC"/>
      <w:sz w:val="21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“人工智能+教育”背景下的教育行业可信AI数据底座解决方案</dc:title>
  <dc:subject>教育行业可信AI数据底座解决方案</dc:subject>
  <dc:creator>OpenAI</dc:creator>
  <cp:keywords/>
  <dc:description>正式方案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